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670</w:t>
      </w:r>
    </w:p>
    <w:p>
      <w:r>
        <w:t>Bundesgericht (BGE), 2005-10-17, DE</w:t>
      </w:r>
    </w:p>
    <w:p>
      <w:r>
        <w:rPr>
          <w:b/>
        </w:rPr>
        <w:t xml:space="preserve">Quelle: </w:t>
      </w:r>
      <w:r>
        <w:t>https://mcp.opencaselaw.ch/entscheid/bge_131 II 670</w:t>
      </w:r>
    </w:p>
    <w:p>
      <w:r>
        <w:t>FR: ATF 131 II 670</w:t>
      </w:r>
    </w:p>
    <w:p>
      <w:r>
        <w:t>IT: DTF 131 II 670</w:t>
      </w:r>
    </w:p>
    <w:p>
      <w:pPr>
        <w:pStyle w:val="Heading2"/>
      </w:pPr>
      <w:r>
        <w:t>Regeste</w:t>
      </w:r>
    </w:p>
    <w:p>
      <w:r>
        <w:t>Regeste Art. 29 Abs. 2 BV; Art. 103 lit. a OG; Art. 10 Epidemiengesetz; SARS-Verordnung. Sofortmassnahmen zur Verminderung des Übertragungsrisikos des Schweren Akuten Respiratorischen Syndroms. Die nachträgliche Überprüfung einer gegenstandslos gewordenen Anordnung hat sich auf die in Zukunft mit einer gewissen Wahrscheinlichkeit erneut stellenden Streitfragen zu beschränken (E. 1.2). Keine Überprüfung des Inhaltes der gegenstandslos gewordenen gesundheitspolizeilichen Massnahmen (E. 2). Zuständigkeit des Bundesrates, anstelle der Kantone die geboten erscheinenden Abwehrmassnahmen zu beschliessen (E. 3.1). Ermächtigung des Bundesamtes für Gesundheit, zur Bekämpfung von SARS "Sofortmassnahmen" zu verfügen (E. 3.2 und 3.3). Verletzung des Anspruches auf Gewährung des rechtlichen Gehörs durch Nichtprotokollierung einer dringlich einberufenen Sitzung, an welcher der betroffene Messeveranstalter erstmals zu den ins Auge gefassten gesundheitspolizeilichen Massnahmen angehört wurde (E. 4).</w:t>
      </w:r>
    </w:p>
    <w:p>
      <w:pPr>
        <w:pStyle w:val="Heading2"/>
      </w:pPr>
      <w:r>
        <w:t>Erwägungen</w:t>
      </w:r>
    </w:p>
    <w:p>
      <w:r>
        <w:rPr>
          <w:b/>
        </w:rPr>
        <w:t>E. 1.1</w:t>
      </w:r>
    </w:p>
    <w:p>
      <w:r>
        <w:t>Die Verfügung des Bundesamtes für Gesundheit erging in Anwendung von Art. 2 der vom Bundesrat gestützt auf Art. 10 des Bundesgesetzes vom 18. Dezember 1970 über die Bekämpfung übertragbarer Krankheiten des Menschen (Epidemiengesetz, EpG; SR 818.101) erlassenen Verordnung vom 1. April 2003 betreffend Massnahmen des Bundesamtes für Gesundheit zur Prävention des Schweren Akuten Respiratorischen Syndroms (SARS) und damit in Anwendung von öffentlichem Recht des Bundes. Der angefochtene Entscheid des Departements unterliegt daher der Verwaltungsgerichtsbeschwerde an das Bundesgericht ( Art. 98 lit. b OG in Verbindung mit Art. 34 Abs. 1 EpG ); ein Ausschlussgrund im Sinne der Art. 99 ff. OG liegt nicht vor. Die Beschwerdeführerinnen sind als Verfügungsadressatinnen und Veranstalterinnen der Messe aufgrund von Art. 103 lit. a OG grundsätzlich zur Beschwerde legitimiert.</w:t>
      </w:r>
    </w:p>
    <w:p>
      <w:r>
        <w:rPr>
          <w:b/>
        </w:rPr>
        <w:t>E. 1.2</w:t>
      </w:r>
    </w:p>
    <w:p>
      <w:r>
        <w:t>Die in Frage stehende Messe hat inzwischen stattgefunden, und die Verfügung des Bundesamtes für Gesundheit, die sich einzig auf diese Veranstaltung bezog, entfaltete schon im Zeitpunkt des Beschwerdeentscheides des Departements keine Rechtswirkungen mehr. Zudem ist die dieser Verfügung zugrunde liegende SARS-Verordnung vom 1. April 2003, deren Geltung zum vornherein auf die Zeit vom 1. April 2003 bis zum 30. Juni 2003 beschränkt war, heute nicht mehr in Kraft. Die Beschwerdeführerinnen haben damit an der Überprüfung der Rechtmässigkeit der streitigen Anordnung kein aktuelles Rechtsschutzinteresse mehr. BGE 131 II 670 S. 674 Das Bundesgericht sieht indessen vom Erfordernis des aktuellen Interesses dann ab, wenn sich die mit der Beschwerde aufgeworfenen grundsätzlichen Fragen jeweils unter gleichen oder ähnlichen Umständen wieder stellen könnten, ohne dass im Einzelfall rechtzeitig eine höchstrichterliche Prüfung stattfinden könnte ( BGE 128 II 34 E. 1b S. 36 mit Hinweisen). Damit ist zugleich gesagt, dass die nachträgliche Überprüfung einer gegenstandslos gewordenen Anordnung sich auf die in Zukunft mit einer gewissen Wahrscheinlichkeit erneut stellenden Streitfragen zu beschränken hat; die Rechtsmittelinstanz beurteilt, unter Ausserachtlassen der zufälligen Modalitäten des obsolet gewordenen Falles, die streitigen Grundsatzfragen, wobei sich der Klärungsbedarf aber aufgrund der individuellen, potentiell wiederholbaren Situation des Beschwerdeführers bestimmt ( BGE 127 I 164 E. 1a und E. 6a S. 183; Urteile 2.P.34/ 1993 vom 28. Januar 1994, E. 5f., publ. in: ZBl 95/1994 S. 300, und 2A.258/2000 vom 27. Oktober 2000, E. 2b und c).</w:t>
      </w:r>
    </w:p>
    <w:p>
      <w:r>
        <w:rPr>
          <w:b/>
        </w:rPr>
        <w:t>E. 2.1</w:t>
      </w:r>
    </w:p>
    <w:p>
      <w:r>
        <w:t>Die Beschwerdeführerinnen machen geltend, sie führten in der Schweiz Messen, Kongresse und weitere Veranstaltungen durch, an denen jeweils internationale "Aussteller" teilnähmen. Sie könnten damit in Bezug auf solche Veranstaltungen mit internationaler Beteiligung auch in Zukunft durch ähnliche Massnahmen des Bundesamtes für Gesundheit betroffen werden. Gemäss einer Medienmitteilung des Bundesamtes für Gesundheit vom 15. Januar 2004 stelle SARS immer noch eine ernstzunehmende Bedrohung dar, die zur Revision der einschlägigen Vorschriften geführt habe, um eingreifen zu können, sobald die Entwicklung von SARS entsprechende Massnahmen erfordere. Einem aktuellen Bericht des Bundesamtes für Gesundheit vom 26. Januar 2005 betreffend Vogelgrippe sei zu entnehmen, dass dieser Virus sich an den menschlichen Organismus adaptieren und alsdann eine weltweite Pandemie auslösen könnte. Da Beschwerden gegen diesbezügliche Anordnungen vom Bundesgericht nie rechtzeitig behandelt werden könnten, sei vom Erfordernis des aktuellen Interesses abzusehen und die Rechtmässigkeit der vorliegend ergangenen Verfügung des Bundesamtes für Gesundheit zu überprüfen.</w:t>
      </w:r>
    </w:p>
    <w:p>
      <w:r>
        <w:rPr>
          <w:b/>
        </w:rPr>
        <w:t>E. 2.2</w:t>
      </w:r>
    </w:p>
    <w:p>
      <w:r>
        <w:t>Dem ist vorab entgegenzuhalten, dass seuchenpolizeiliche Anordnungen, welche die Durchführung einer Messe behindern oder verunmöglichen können, nicht notwendigerweise in jedem Fall derart kurzfristig vor der betreffenden Veranstaltung ergehen, dass eine BGE 131 II 670 S. 675 rechtzeitige Beurteilung durch das Bundesgericht zum vornherein immer ausgeschlossen ist. Es trifft jedoch zu, dass akute Interessenkollisionen und entsprechende Schwierigkeiten bei der Rechtsanwendung besonders dann zu erwarten sind, wenn kurz vor der Durchführung einer weitgehend bereits vorbereiteten Messeveranstaltung gesundheitspolizeiliche Anordnungen erforderlich werden, um der drohenden Ausweitung einer ansteckenden Krankheit zu begegnen. Insoweit kann davon ausgegangen werden, dass Sofort-Massnahmen der hier in Frage stehenden Art in der Regel nicht rechtzeitig höchstrichterlich überprüft werden können.</w:t>
      </w:r>
    </w:p>
    <w:p>
      <w:r>
        <w:rPr>
          <w:b/>
        </w:rPr>
        <w:t>E. 2.3</w:t>
      </w:r>
    </w:p>
    <w:p>
      <w:r>
        <w:t>Was den Inhalt der - mit den Interessen der Messeveranstalter potentiell kollidierenden - gesundheitspolizeilichen Massnahmen anbelangt, so besteht jedoch wenig Wahrscheinlichkeit, dass sich die der Verfügung des Bundesamtes für Gesundheit vom 1. April 2003 zugrunde liegende Sach- und Problemlage in gleicher oder ähnlicher Weise wiederholen wird. Im Zeitpunkt der genannten Verfügung bestand über die neu aufgetretene Infektionskrankheit SARS eine hohe Unsicherheit, und der Wissensstand insbesondere zu den Übertragungswegen und den zu ergreifenden Massnahmen befand sich gerade in den fraglichen Tagen in einer "dramatischen Entwicklungsphase". Die SARS-Verordnung vom 1. April 2003, welche die mit den fraglichen Messeveranstaltungen verbundenen Risiken erfassen wollte und als primäre Massnahme ein Beschäftigungsverbot für Personen aus gefährdeten Gebieten vorsah, war dementsprechend auf drei Monate befristet. Zur Verhinderung der Einschleppung von SARS und anderen neu auftretenden Infektionskrankheiten hat das Eidgenössische Departement des Innern am 15. Dezember 2003 eine Verordnung (SR 818.125.12) erlassen, welche die Flughafenbetreiber zu bestimmten Massnahmen verpflichtet. Falls künftig zusätzliche gezielte gesundheitspolizeiliche Abwehrmassnahmen gegen SARS im Zusammenhang mit der Durchführung internationaler Messen erneut erforderlich werden sollten, wird hierüber nach dem dannzumaligen Kenntnisstand zu befinden sein, und es versteht sich von selbst, dass dabei auch die im vorliegenden Fall gemachten Erfahrungen mit den organisatorischen Problemen der Messedurchführung sowie mit dem Verhalten der Messeteilnehmer zu berücksichtigen sein werden. Eine nachträgliche fachliche Auseinandersetzung mit der Frage, ob und wieweit das mit der Verfügung vom 1. April 2003 für einen bestimmten Personenkreis ausgesprochene BGE 131 II 670 S. 676 Beschäftigungsverbot nach dem damaligen Wissensstand zweckmässig und verhältnismässig war oder ob andere Massnahmen - etwa "Screening" (Ausfüllen eines Fragebogens über Krankheitssymptome) oder die Pflicht zur Verwendung von Masken - ausgereicht hätten und ob die Inkubationszeit aufgrund der damals vorliegenden Informationen richtig eingeschätzt wurde, mag aus der Sicht der betroffenen Messeveranstalter einem verständlichen Bedürfnis entsprechen. Eine diesbezügliche retrospektive Beurteilung vermöchte aber zur rechtlichen Bewältigung künftiger Krisensituationen, wie sie sich im Zusammenhang mit übertragbaren Krankheiten in mannigfacher und naturgemäss schwer voraussehbarer Art ergeben können, wenig beizutragen. Der Hinweis der Beschwerdeführerinnen auf die zur Zeit drohende Ausbreitung der Vogelgrippe, bei der es sich um eine von SARS verschiedene Infektionskrankheit mit anderen Übertragungseigenschaften handelt, vermag die vorstehende Überlegung nicht zu entkräften. Es ist in diesem Punkt auf die Verwaltungsgerichtsbeschwerde nicht einzutreten.</w:t>
      </w:r>
    </w:p>
    <w:p>
      <w:r>
        <w:rPr>
          <w:b/>
        </w:rPr>
        <w:t>E. 3.1</w:t>
      </w:r>
    </w:p>
    <w:p>
      <w:r>
        <w:t>Grundsätzlicher Natur - und damit einer nachträglichen Beurteilung trotz Gegenstandslosigkeit des konkreten Streitfalles zugänglich - ist dagegen die in der Beschwerdeschrift aufgeworfene Frage der Zuständigkeit des Bundesrates zu Massnahmen gemäss Art. 10 des Epidemiengesetzes. Gemäss Art. 11 EpG obliegt es den Kantonen, die zur Bekämpfung übertragbarer Krankheiten erforderlichen Massnahmen zu treffen. Nach Art. 10 Abs. 1 des Gesetzes kann jedoch, "wenn ausserordentliche Umstände es erfordern", der Bundesrat für das ganze Land oder für einzelne Landesteile die notwendigen Massnahmen treffen. In der Botschaft wird bezüglich der Abgrenzung der Kompetenzen ausgeführt, dass "für die üblichen Aufgaben der Vorbeugung unter normalen Verhältnissen und bei geringen Erkrankungszahlen" die kantonalen Anordnungen genügen sollten (BBl 1970 I/1 411). Nach Wortlaut und Sinn von Art. 10 des Epidemiengesetzes steht dem Bundesrat bei der Handhabung dieser Kompetenznorm, welche letztlich die polizeiliche Generalklausel konkretisiert, ein erheblicher Spielraum zu (vgl. auch AB 1970 N 566). Im vorliegenden Falle durfte der Bundesrat, nachdem die fraglichen Messen in zwei verschiedenen Kantonen durchgeführt wurden, seitens der Kantonsregierungen über die zu treffenden Massnahmen offenbar keine Einigkeit bestand und ein Einschleppen von SARS die gesamte schweizerische Bevölkerung BGE 131 II 670 S. 677 bedroht hätte, zulässigerweise das Vorliegen ausserordentlicher Umstände im Sinne von Art. 10 EpG bejahen und alsdann anstelle der Kantone selber die geboten erscheinenden Abwehrmassnahmen beschliessen. Was die Beschwerdeführerinnen hiegegen vorbringen, ist nicht stichhaltig. Wohl trifft zu, dass das Epidemiengesetz zulässt, dass die Kantone zur Abwehr von übertragbaren Krankheiten allenfalls unterschiedliche Massnahmen treffen können; das ergibt sich aus der den Kantonen übertragenen Vollzugskompetenz und den damit verbundenen Spielräumen. Vorliegend bestand nach dem Gesagten aber eine besondere Problemlage, welche den üblichen Rahmen der den Kantonen zustehenden Vollzugsaufgaben klar sprengte und richtigerweise auf Bundesebene zu regeln war.</w:t>
      </w:r>
    </w:p>
    <w:p>
      <w:r>
        <w:rPr>
          <w:b/>
        </w:rPr>
        <w:t>E. 3.2</w:t>
      </w:r>
    </w:p>
    <w:p>
      <w:r>
        <w:t>Die Beschwerdeführerinnen beanstanden im Weiteren, dass die SARS-Verordnung die Befugnis zum Erlass von Sofortmassnahmen zur Bekämpfung von SARS global an das Bundesamt für Gesundheit übertragen habe, was nach ihrer Meinung auch die Kompetenz des Amtes zum Erlass von einschneidenden Massnahmen wie körperliche Eingriffe, Anstaltseinweisung, Quarantäne, Beschränkung der Personenfreizügigkeit in sich schloss. Das Gewicht der erfolgten Delegation lag klarerweise auf der in Art. 2 Satz 2 der SARS-Verordnung vorgesehenen, recht bestimmt umschriebenen Massnahme (Verbot der beruflichen Tätigkeit für Personen aus gefährdeten Gebieten), welche in der streitigen Verfügung des Bundesamtes für Gesundheit vom 1. April 2003 für die hier in Frage stehende Messe angeordnet wurde. Dass der Bundesrat gestützt auf Art. 10 EpG dem Bundesamt für Gesundheit diese Befugnis übertragen durfte, steht ausser Frage. Was die in Art. 2 Satz 1 der SARS-Verordnung enthaltene Delegation anbelangt, so lässt sie sich ohne Zwang dahin interpretieren, dass das Bundesamt (anstelle oder neben den an sich zuständigen Kantonen) nötigenfalls die im Epidemiengesetz vorgesehenen Abwehrmassnahmen treffen durfte, wobei es sich nur um "Verfügungen" und nicht um generell-abstrakte Regelungen handeln konnte; weitergehende Sondermassnahmen hätten nach der Konzeption der SARS-Verordnung wohl vom Bundesrat ausgehen müssen.</w:t>
      </w:r>
    </w:p>
    <w:p>
      <w:r>
        <w:rPr>
          <w:b/>
        </w:rPr>
        <w:t>E. 3.3</w:t>
      </w:r>
    </w:p>
    <w:p>
      <w:r>
        <w:t>An welche inhaltlichen Schranken der Bundesrat beim Erlass von Massnahmen nach Art. 10 EpG gebunden ist und wieweit er entsprechende Kompetenzen an nachgeordnete Stellen übertragen BGE 131 II 670 S. 678 darf (vgl. dazu Art. 47 und 48 des Regierungs- und Verwaltungsorganisationsgesetzes vom 21. März 1997 [RVOG; SR 172.010]), kann nicht abstrakt, d.h. losgelöst von einer bestimmten Bedrohungssituation, festgelegt werden. Jedenfalls hielt der Bundesrat sich mit der in Art. 2 Satz 2 der SARS-Verordnung vorgesehenen Massnahme (Beschäftigungsverbot für Personen aus gefährdeten Gebieten) im Rahmen der Kompetenzen, die ihm aufgrund von Art. 10 EpG zustanden, und es war grundsätzlich auch zulässig, dass er gestützt auf die genannte Gesetzesbestimmung den Vollzug dieser Regelung sowie die Zuständigkeit für weitere mögliche "Sofortmassnahmen" an das Bundesamt für Gesundheit übertrug (Art. 2 Satz 1). Wie bestimmt solche Delegationen und Ermächtigungen an nachgeordnete Bundesstellen sein müssen, braucht hier nicht allgemein untersucht zu werden. Die angefochtene Verfügung des Bundesamtes für Gesundheit vom 1. April 2003 enthielt neben dem Beschäftigungsverbot für bestimmte ausländische Personen keine zusätzlichen, die Messeveranstalter belastenden Anordnungen, für welche die SARS-Verordnung als Grundlage allenfalls nicht ausgereicht hätte; die Bedeutung der Verfügung erschöpfte sich im Wesentlichen im erwähnten Verbot, wofür die SARS-Verordnung (in Verbindung mit Art. 10 EpG ) klarerweise eine ausreichende Rechtsgrundlage darstellte.</w:t>
      </w:r>
    </w:p>
    <w:p>
      <w:r>
        <w:rPr>
          <w:b/>
        </w:rPr>
        <w:t>E. 4.1</w:t>
      </w:r>
    </w:p>
    <w:p>
      <w:r>
        <w:t>Zu prüfen bleibt schliesslich die Frage der Gewährung des rechtlichen Gehörs, soweit sie grundsätzliche Aspekte betrifft.</w:t>
      </w:r>
    </w:p>
    <w:p>
      <w:r>
        <w:rPr>
          <w:b/>
        </w:rPr>
        <w:t>E. 4.2</w:t>
      </w:r>
    </w:p>
    <w:p>
      <w:r>
        <w:t>Es versteht sich von selbst, dass der von einer individuell-konkreten Anordnung betroffene Messeveranstalter in ausreichender und geeigneter Weise angehört werden muss. Falls die vorgängige Gewährung einer schriftlichen Äusserungsmöglichkeit wegen zeitlicher Dringlichkeit ausser Betracht fällt (vgl. Art. 30 Abs. 2 lit. e VwVG ), soll die zuständige Behörde, soweit die Sachlage dies erlaubt, bei einschneidenden Eingriffen die Betroffenen vor Erlass der Verfügung wenigstens mündlich zu den ins Auge gefassten gesundheitspolizeilichen Massnahmen anhören, um ihren Entscheid auf möglichst zuverlässiger Grundlage fällen zu können. Das vom Bundesamt für Gesundheit vorliegend eingeschlagene Vorgehen lässt sich insoweit nicht beanstanden. Es konnte jedoch seinen Zweck nur richtig erfüllen, wenn die betroffenen Messeveranstalter in der Einladung zur mündlichen Verhandlung über die mögliche Tragweite der anzuordnenden Massnahmen ausreichend informiert BGE 131 II 670 S. 679 wurden. Aus der Sitzungseinladung des Bundesamtes für Gesundheit vom 31. März 2003 war nicht ersichtlich, welche gesundheitspolizeilichen Massnahmen in Betracht gezogen wurden. Mit einem Beschäftigungsverbot für einen weiten Kreis ausländischer Personen hatten die Messeveranstalter offenbar nicht gerechnet. Auch der stellvertretende Leiter der Abteilung Epidemiologie und Infektionskrankheiten des Bundesamtes für Gesundheit hatte in einem Radiointerview am 31. März 2003 (von 13.00 bis 13.30 Uhr, d.h. kurz vor der Sitzung, die gleichentags auf 16.00 Uhr angesetzt worden war) - angesprochen auf die in Basel und Zürich stattfindende Uhren- und Schmuckmesse mit vielen Ausstellern und Besuchern aus Asien - noch erklärt, es seien diesbezüglich keine Sofortmassnahmen erforderlich; diese Leute seien aber zu informieren. Andererseits musste den Veranstaltern der Messe klar sein, dass die Situation seitens der Behörden als ernst betrachtet wurde, was die Möglichkeit einschneidender Massnahmen für den Messebetrieb zum vornherein in sich schloss. Es hätte unter diesen Umständen den Messeveranstaltern obgelegen, sich an der fraglichen Sitzung nicht durch eine "für das Bundesamt für Gesundheit erkennbar überforderte" "subalterne Vertreterin", welche sich telefonisch mehrmals mit der Geschäftsleitung in Verbindung zu setzen suchte, sondern durch eine über das nötige Wissen und Verhandlungserfahrung verfügende und mit den erforderlichen Kompetenzen ausgestattete Delegation vertreten zu lassen.</w:t>
      </w:r>
    </w:p>
    <w:p>
      <w:r>
        <w:rPr>
          <w:b/>
        </w:rPr>
        <w:t>E. 4.3</w:t>
      </w:r>
    </w:p>
    <w:p>
      <w:r>
        <w:t>Das Erstellen eines schriftlichen Protokolls über derartige Verhandlungen ist an sich nicht vorgeschrieben. Aufgrund der möglichen Tragweite der ins Auge gefassten Massnahmen, deren Verhältnismässigkeit weitgehend auch von den seitens der Verhandlungsteilnehmer mündlich abgegebenen Erklärungen abhängen konnte, hätte jedoch vorliegend zur Wahrung der Parteirechte der Gang der Sitzung in geeigneter Form durch einen Vertreter der federführenden Behörde (Bundesamt für Gesundheit) protokolliert werden müssen. Ohne ein derartiges Verhandlungsprotokoll sind die betroffenen Parteien nicht ausreichend in der Lage, die der sie belastenden Massnahme zugrunde liegenden Sachverhaltsannahmen und Überlegungen nachzuvollziehen. Zudem vermag auch die Behörde, soweit sie sich auf Aussagen der Beteiligten stützen muss, ihre Begründungspflicht mangels schriftlicher Belege nicht richtig zu erfüllen. In diesem Teilpunkt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